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86" w:rsidRDefault="00EB03B0">
      <w:r>
        <w:t>De organisatie van de beide trajecten is schematisch weergegeven in onderstaande figuur.</w:t>
      </w:r>
    </w:p>
    <w:p w:rsidR="00EB03B0" w:rsidRDefault="00EB03B0"/>
    <w:p w:rsidR="00EB03B0" w:rsidRDefault="00EB03B0">
      <w:r>
        <w:t xml:space="preserve">                                                      Arts + Patiënt</w:t>
      </w:r>
    </w:p>
    <w:p w:rsidR="00EB03B0" w:rsidRDefault="00023686">
      <w:r>
        <w:rPr>
          <w:noProof/>
          <w:lang w:eastAsia="nl-N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53.85pt;margin-top:.85pt;width:8.65pt;height:35.3pt;z-index:25165824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EB03B0" w:rsidRDefault="00EB03B0"/>
    <w:p w:rsidR="00EB03B0" w:rsidRDefault="00023686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9.15pt;margin-top:19.3pt;width:58pt;height:45.3pt;flip:x;z-index:251663360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34" type="#_x0000_t32" style="position:absolute;margin-left:231.15pt;margin-top:7.3pt;width:128.65pt;height:57.3pt;z-index:251662336" o:connectortype="straight">
            <v:stroke endarrow="block"/>
          </v:shape>
        </w:pict>
      </w:r>
      <w:r w:rsidR="00EB03B0">
        <w:t xml:space="preserve">                                               Thuiszorg organisatie</w:t>
      </w:r>
    </w:p>
    <w:p w:rsidR="00EB03B0" w:rsidRDefault="00EB03B0"/>
    <w:p w:rsidR="00EB03B0" w:rsidRDefault="00EB03B0"/>
    <w:p w:rsidR="003F6ACE" w:rsidRDefault="00EB03B0">
      <w:r>
        <w:t>Regu</w:t>
      </w:r>
      <w:r w:rsidR="003F6ACE">
        <w:t>liere farmaceutische thuiszorg                                                    Complexe farmaceutische thuiszorg</w:t>
      </w:r>
    </w:p>
    <w:p w:rsidR="003F6ACE" w:rsidRDefault="00023686">
      <w:r>
        <w:rPr>
          <w:noProof/>
          <w:lang w:eastAsia="nl-NL"/>
        </w:rPr>
        <w:pict>
          <v:shape id="_x0000_s1038" type="#_x0000_t32" style="position:absolute;margin-left:345.15pt;margin-top:18.8pt;width:39.35pt;height:26pt;z-index:251666432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37" type="#_x0000_t32" style="position:absolute;margin-left:253.15pt;margin-top:18.8pt;width:74.65pt;height:26pt;flip:x;z-index:251665408" o:connectortype="straight">
            <v:stroke endarrow="block"/>
          </v:shape>
        </w:pict>
      </w:r>
      <w:r w:rsidR="00EB03B0">
        <w:t>(door Ziekenhuis verpleegkundige)</w:t>
      </w:r>
      <w:r w:rsidR="003F6ACE">
        <w:t xml:space="preserve">                                                      (door Transferverpleegkundige)</w:t>
      </w:r>
    </w:p>
    <w:p w:rsidR="003F6ACE" w:rsidRDefault="00023686">
      <w:r>
        <w:rPr>
          <w:noProof/>
          <w:lang w:eastAsia="nl-NL"/>
        </w:rPr>
        <w:pict>
          <v:shape id="_x0000_s1040" type="#_x0000_t32" style="position:absolute;margin-left:43.65pt;margin-top:2.75pt;width:.15pt;height:72.65pt;z-index:251668480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36" type="#_x0000_t32" style="position:absolute;margin-left:349.15pt;margin-top:2.75pt;width:0;height:0;z-index:251664384" o:connectortype="straight">
            <v:stroke endarrow="block"/>
          </v:shape>
        </w:pict>
      </w:r>
      <w:r w:rsidR="003F6ACE">
        <w:t xml:space="preserve">                                                                                     </w:t>
      </w:r>
      <w:r w:rsidR="006664D8">
        <w:t xml:space="preserve">                                             </w:t>
      </w:r>
    </w:p>
    <w:p w:rsidR="003F6ACE" w:rsidRDefault="00023686">
      <w:r>
        <w:rPr>
          <w:noProof/>
          <w:lang w:eastAsia="nl-NL"/>
        </w:rPr>
        <w:pict>
          <v:shape id="_x0000_s1048" type="#_x0000_t32" style="position:absolute;margin-left:135.15pt;margin-top:11.95pt;width:59.35pt;height:27.4pt;flip:x;z-index:251675648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46" type="#_x0000_t32" style="position:absolute;margin-left:349.15pt;margin-top:22.6pt;width:0;height:20.7pt;z-index:251673600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39" type="#_x0000_t32" style="position:absolute;margin-left:363.8pt;margin-top:17.3pt;width:.05pt;height:.05pt;z-index:251667456" o:connectortype="straight">
            <v:stroke endarrow="block"/>
          </v:shape>
        </w:pict>
      </w:r>
      <w:r w:rsidR="003F6ACE">
        <w:t xml:space="preserve">                                                                                  Protocollair                          Specialistische zorg:</w:t>
      </w:r>
    </w:p>
    <w:p w:rsidR="006664D8" w:rsidRDefault="00C41D7B">
      <w:r>
        <w:t xml:space="preserve">                                             </w:t>
      </w:r>
      <w:r w:rsidR="00870748">
        <w:t xml:space="preserve">                              </w:t>
      </w:r>
      <w:r>
        <w:t xml:space="preserve">                                            </w:t>
      </w:r>
    </w:p>
    <w:p w:rsidR="00EB03B0" w:rsidRDefault="00023686">
      <w:r>
        <w:rPr>
          <w:noProof/>
          <w:lang w:eastAsia="nl-NL"/>
        </w:rPr>
        <w:pict>
          <v:shape id="_x0000_s1043" type="#_x0000_t32" style="position:absolute;margin-left:332.5pt;margin-top:35.05pt;width:0;height:20.7pt;z-index:251670528" o:connectortype="straight">
            <v:stroke endarrow="block"/>
          </v:shape>
        </w:pict>
      </w:r>
      <w:r>
        <w:rPr>
          <w:noProof/>
          <w:lang w:eastAsia="nl-NL"/>
        </w:rPr>
        <w:pict>
          <v:shape id="_x0000_s1030" type="#_x0000_t32" style="position:absolute;margin-left:39.25pt;margin-top:26.5pt;width:.05pt;height:17.4pt;z-index:251661312" o:connectortype="straight">
            <v:stroke endarrow="block"/>
          </v:shape>
        </w:pict>
      </w:r>
      <w:r w:rsidR="003F6ACE">
        <w:t xml:space="preserve">                                                                       </w:t>
      </w:r>
      <w:r w:rsidR="00870748">
        <w:t xml:space="preserve">   </w:t>
      </w:r>
      <w:r w:rsidR="003F6ACE">
        <w:t xml:space="preserve">                         </w:t>
      </w:r>
      <w:r w:rsidR="006664D8">
        <w:t xml:space="preserve">                                   </w:t>
      </w:r>
      <w:r w:rsidR="003F6ACE">
        <w:t xml:space="preserve">Bij I.V. therapieën                                                                                               </w:t>
      </w:r>
      <w:r w:rsidR="006664D8">
        <w:t xml:space="preserve">                          </w:t>
      </w:r>
      <w:r w:rsidR="00EB03B0">
        <w:t>Recept/materialenformulier</w:t>
      </w:r>
      <w:r w:rsidR="003F6ACE">
        <w:t xml:space="preserve">                                             </w:t>
      </w:r>
      <w:r w:rsidR="006664D8">
        <w:t xml:space="preserve">               </w:t>
      </w:r>
      <w:proofErr w:type="spellStart"/>
      <w:r w:rsidR="003F6ACE">
        <w:t>Epidurale</w:t>
      </w:r>
      <w:proofErr w:type="spellEnd"/>
      <w:r w:rsidR="003F6ACE">
        <w:t>/</w:t>
      </w:r>
      <w:proofErr w:type="spellStart"/>
      <w:r w:rsidR="003F6ACE">
        <w:t>Intrathecale</w:t>
      </w:r>
      <w:proofErr w:type="spellEnd"/>
      <w:r w:rsidR="003F6ACE">
        <w:t xml:space="preserve"> </w:t>
      </w:r>
      <w:r w:rsidR="006664D8">
        <w:t xml:space="preserve"> </w:t>
      </w:r>
      <w:proofErr w:type="spellStart"/>
      <w:r w:rsidR="006664D8">
        <w:t>anaesthesie</w:t>
      </w:r>
      <w:proofErr w:type="spellEnd"/>
      <w:r w:rsidR="006664D8">
        <w:t xml:space="preserve">                                       </w:t>
      </w:r>
    </w:p>
    <w:p w:rsidR="00EB03B0" w:rsidRDefault="00EB03B0">
      <w:r>
        <w:t xml:space="preserve"> Naar openbare apotheek</w:t>
      </w:r>
      <w:r w:rsidR="006664D8">
        <w:t xml:space="preserve">                                                                                    </w:t>
      </w:r>
    </w:p>
    <w:p w:rsidR="006664D8" w:rsidRDefault="00023686">
      <w:r>
        <w:rPr>
          <w:noProof/>
          <w:lang w:eastAsia="nl-NL"/>
        </w:rPr>
        <w:pict>
          <v:shape id="_x0000_s1044" type="#_x0000_t32" style="position:absolute;margin-left:332.5pt;margin-top:23.4pt;width:0;height:20.7pt;z-index:251671552" o:connectortype="straight">
            <v:stroke endarrow="block"/>
          </v:shape>
        </w:pict>
      </w:r>
      <w:r w:rsidR="006664D8">
        <w:t xml:space="preserve">                                                                                                         Recept eventueel naar ziekhuisapotheek</w:t>
      </w:r>
    </w:p>
    <w:p w:rsidR="006664D8" w:rsidRDefault="00C41D7B">
      <w:r>
        <w:t xml:space="preserve">                                                                                                                                       </w:t>
      </w:r>
    </w:p>
    <w:p w:rsidR="006664D8" w:rsidRDefault="00023686">
      <w:r>
        <w:rPr>
          <w:noProof/>
          <w:lang w:eastAsia="nl-NL"/>
        </w:rPr>
        <w:pict>
          <v:shape id="_x0000_s1045" type="#_x0000_t32" style="position:absolute;margin-left:327.8pt;margin-top:23.15pt;width:0;height:20.7pt;z-index:251672576" o:connectortype="straight">
            <v:stroke endarrow="block"/>
          </v:shape>
        </w:pict>
      </w:r>
      <w:r w:rsidR="006664D8">
        <w:t xml:space="preserve">                                                                                                          Beoordeling op knelpunten</w:t>
      </w:r>
    </w:p>
    <w:p w:rsidR="006664D8" w:rsidRDefault="00C41D7B">
      <w:r>
        <w:t xml:space="preserve">                                                                                                                                     </w:t>
      </w:r>
    </w:p>
    <w:p w:rsidR="00861DFF" w:rsidRDefault="006664D8" w:rsidP="00861DFF">
      <w:pPr>
        <w:pStyle w:val="Lijstalinea"/>
        <w:numPr>
          <w:ilvl w:val="0"/>
          <w:numId w:val="1"/>
        </w:numPr>
      </w:pPr>
      <w:r>
        <w:t>Overdracht aan openbare apotheek</w:t>
      </w:r>
    </w:p>
    <w:sectPr w:rsidR="00861DFF" w:rsidSect="0055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2E5B"/>
    <w:multiLevelType w:val="hybridMultilevel"/>
    <w:tmpl w:val="270ECD06"/>
    <w:lvl w:ilvl="0" w:tplc="0413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B03B0"/>
    <w:rsid w:val="00023686"/>
    <w:rsid w:val="003F6ACE"/>
    <w:rsid w:val="00556E86"/>
    <w:rsid w:val="006664D8"/>
    <w:rsid w:val="00861DFF"/>
    <w:rsid w:val="00870748"/>
    <w:rsid w:val="00A02868"/>
    <w:rsid w:val="00B02627"/>
    <w:rsid w:val="00C41D7B"/>
    <w:rsid w:val="00E92329"/>
    <w:rsid w:val="00EB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5"/>
        <o:r id="V:Rule15" type="connector" idref="#_x0000_s1036"/>
        <o:r id="V:Rule16" type="connector" idref="#_x0000_s1048"/>
        <o:r id="V:Rule17" type="connector" idref="#_x0000_s1039"/>
        <o:r id="V:Rule18" type="connector" idref="#_x0000_s1037"/>
        <o:r id="V:Rule19" type="connector" idref="#_x0000_s1030"/>
        <o:r id="V:Rule20" type="connector" idref="#_x0000_s1043"/>
        <o:r id="V:Rule21" type="connector" idref="#_x0000_s1034"/>
        <o:r id="V:Rule22" type="connector" idref="#_x0000_s1046"/>
        <o:r id="V:Rule23" type="connector" idref="#_x0000_s1040"/>
        <o:r id="V:Rule24" type="connector" idref="#_x0000_s1035"/>
        <o:r id="V:Rule25" type="connector" idref="#_x0000_s1038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6E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23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1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2017-06-08T15:40:00Z</dcterms:created>
  <dcterms:modified xsi:type="dcterms:W3CDTF">2017-06-08T15:40:00Z</dcterms:modified>
</cp:coreProperties>
</file>